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2B15" w14:textId="77777777" w:rsidR="009F18E5" w:rsidRPr="0009635F" w:rsidRDefault="009F18E5" w:rsidP="009F18E5">
      <w:pPr>
        <w:jc w:val="center"/>
        <w:rPr>
          <w:b/>
          <w:bCs/>
          <w:sz w:val="20"/>
          <w:szCs w:val="20"/>
        </w:rPr>
      </w:pPr>
      <w:r w:rsidRPr="0009635F">
        <w:rPr>
          <w:b/>
          <w:bCs/>
          <w:sz w:val="20"/>
          <w:szCs w:val="20"/>
        </w:rPr>
        <w:t>IDAHO CONNECTS ONLINE SCHOOL</w:t>
      </w:r>
    </w:p>
    <w:p w14:paraId="3D649447" w14:textId="77777777" w:rsidR="009F18E5" w:rsidRPr="0009635F" w:rsidRDefault="009F18E5" w:rsidP="009F18E5">
      <w:pPr>
        <w:pStyle w:val="NoSpacing"/>
        <w:jc w:val="center"/>
        <w:rPr>
          <w:b/>
          <w:bCs/>
          <w:sz w:val="20"/>
          <w:szCs w:val="20"/>
        </w:rPr>
      </w:pPr>
      <w:r w:rsidRPr="0009635F">
        <w:rPr>
          <w:b/>
          <w:bCs/>
          <w:sz w:val="20"/>
          <w:szCs w:val="20"/>
        </w:rPr>
        <w:t xml:space="preserve">Governing Board Meeting </w:t>
      </w:r>
      <w:r>
        <w:rPr>
          <w:b/>
          <w:bCs/>
          <w:sz w:val="20"/>
          <w:szCs w:val="20"/>
        </w:rPr>
        <w:t>Agenda</w:t>
      </w:r>
    </w:p>
    <w:p w14:paraId="569944DA" w14:textId="77777777" w:rsidR="009F18E5" w:rsidRPr="0009635F" w:rsidRDefault="009F18E5" w:rsidP="009F18E5">
      <w:pPr>
        <w:pStyle w:val="NoSpacing"/>
        <w:jc w:val="center"/>
        <w:rPr>
          <w:b/>
          <w:bCs/>
          <w:sz w:val="20"/>
          <w:szCs w:val="20"/>
        </w:rPr>
      </w:pPr>
    </w:p>
    <w:p w14:paraId="50F34FF6" w14:textId="28BDD270" w:rsidR="009F18E5" w:rsidRDefault="009F18E5" w:rsidP="009F18E5">
      <w:pPr>
        <w:pStyle w:val="NoSpacing"/>
        <w:spacing w:line="360" w:lineRule="auto"/>
        <w:jc w:val="center"/>
        <w:rPr>
          <w:b/>
          <w:bCs/>
          <w:sz w:val="20"/>
          <w:szCs w:val="20"/>
        </w:rPr>
      </w:pPr>
      <w:r>
        <w:rPr>
          <w:b/>
          <w:bCs/>
          <w:sz w:val="20"/>
          <w:szCs w:val="20"/>
        </w:rPr>
        <w:t>Monday, October 30th</w:t>
      </w:r>
      <w:r w:rsidRPr="0009635F">
        <w:rPr>
          <w:b/>
          <w:bCs/>
          <w:sz w:val="20"/>
          <w:szCs w:val="20"/>
        </w:rPr>
        <w:t xml:space="preserve">, 2023, </w:t>
      </w:r>
      <w:r>
        <w:rPr>
          <w:b/>
          <w:bCs/>
          <w:sz w:val="20"/>
          <w:szCs w:val="20"/>
        </w:rPr>
        <w:t xml:space="preserve">3:00 PM </w:t>
      </w:r>
      <w:r w:rsidRPr="0009635F">
        <w:rPr>
          <w:b/>
          <w:bCs/>
          <w:sz w:val="20"/>
          <w:szCs w:val="20"/>
        </w:rPr>
        <w:t>Mountain</w:t>
      </w:r>
      <w:r w:rsidRPr="0009635F">
        <w:rPr>
          <w:b/>
          <w:bCs/>
          <w:sz w:val="20"/>
          <w:szCs w:val="20"/>
        </w:rPr>
        <w:t xml:space="preserve"> Time (US and Canada)</w:t>
      </w:r>
    </w:p>
    <w:p w14:paraId="214F785F" w14:textId="77777777" w:rsidR="009F18E5" w:rsidRPr="00375A6F" w:rsidRDefault="009F18E5" w:rsidP="009F18E5">
      <w:pPr>
        <w:pStyle w:val="NoSpacing"/>
        <w:spacing w:line="360" w:lineRule="auto"/>
        <w:jc w:val="center"/>
        <w:rPr>
          <w:sz w:val="20"/>
          <w:szCs w:val="20"/>
        </w:rPr>
      </w:pPr>
      <w:r w:rsidRPr="00375A6F">
        <w:rPr>
          <w:sz w:val="20"/>
          <w:szCs w:val="20"/>
        </w:rPr>
        <w:t>Please join our meeting at</w:t>
      </w:r>
    </w:p>
    <w:p w14:paraId="00C98C7D" w14:textId="77777777" w:rsidR="009F18E5" w:rsidRPr="00375A6F" w:rsidRDefault="009F18E5" w:rsidP="009F18E5">
      <w:pPr>
        <w:pStyle w:val="NoSpacing"/>
        <w:spacing w:line="360" w:lineRule="auto"/>
        <w:jc w:val="center"/>
        <w:rPr>
          <w:rFonts w:cstheme="minorHAnsi"/>
          <w:b/>
          <w:bCs/>
          <w:color w:val="39404D"/>
          <w:sz w:val="20"/>
          <w:szCs w:val="20"/>
        </w:rPr>
      </w:pPr>
      <w:r w:rsidRPr="00375A6F">
        <w:rPr>
          <w:rFonts w:cstheme="minorHAnsi"/>
          <w:b/>
          <w:bCs/>
          <w:color w:val="39404D"/>
          <w:sz w:val="20"/>
          <w:szCs w:val="20"/>
        </w:rPr>
        <w:t>4483 Dresden Place, Suite 101, Garden City, ID 83714</w:t>
      </w:r>
    </w:p>
    <w:p w14:paraId="4F1F3ED2" w14:textId="77777777" w:rsidR="009F18E5" w:rsidRDefault="009F18E5" w:rsidP="009F18E5">
      <w:pPr>
        <w:pStyle w:val="NoSpacing"/>
        <w:spacing w:line="360" w:lineRule="auto"/>
        <w:jc w:val="center"/>
        <w:rPr>
          <w:sz w:val="20"/>
          <w:szCs w:val="20"/>
        </w:rPr>
      </w:pPr>
      <w:r>
        <w:rPr>
          <w:sz w:val="20"/>
          <w:szCs w:val="20"/>
        </w:rPr>
        <w:t>or join the Zoom Meeting</w:t>
      </w:r>
      <w:r w:rsidRPr="00375A6F">
        <w:rPr>
          <w:sz w:val="20"/>
          <w:szCs w:val="20"/>
        </w:rPr>
        <w:t xml:space="preserve"> </w:t>
      </w:r>
      <w:r w:rsidRPr="0009635F">
        <w:rPr>
          <w:sz w:val="20"/>
          <w:szCs w:val="20"/>
        </w:rPr>
        <w:t xml:space="preserve">from your computer, </w:t>
      </w:r>
      <w:proofErr w:type="gramStart"/>
      <w:r w:rsidRPr="0009635F">
        <w:rPr>
          <w:sz w:val="20"/>
          <w:szCs w:val="20"/>
        </w:rPr>
        <w:t>tablet</w:t>
      </w:r>
      <w:proofErr w:type="gramEnd"/>
      <w:r w:rsidRPr="0009635F">
        <w:rPr>
          <w:sz w:val="20"/>
          <w:szCs w:val="20"/>
        </w:rPr>
        <w:t xml:space="preserve"> or smartphone</w:t>
      </w:r>
      <w:r>
        <w:rPr>
          <w:sz w:val="20"/>
          <w:szCs w:val="20"/>
        </w:rPr>
        <w:t xml:space="preserve"> at:</w:t>
      </w:r>
    </w:p>
    <w:p w14:paraId="7CB9ECF5" w14:textId="77777777" w:rsidR="009F18E5" w:rsidRPr="0009635F" w:rsidRDefault="009F18E5" w:rsidP="009F18E5">
      <w:pPr>
        <w:pStyle w:val="NoSpacing"/>
        <w:jc w:val="center"/>
        <w:rPr>
          <w:rFonts w:cstheme="minorHAnsi"/>
          <w:b/>
          <w:bCs/>
          <w:i/>
          <w:iCs/>
          <w:color w:val="39404D"/>
          <w:sz w:val="20"/>
          <w:szCs w:val="20"/>
        </w:rPr>
      </w:pPr>
      <w:r>
        <w:rPr>
          <w:rStyle w:val="gmaildefault"/>
          <w:rFonts w:ascii="Comic Sans MS" w:hAnsi="Comic Sans MS" w:cs="Tahoma"/>
          <w:i/>
          <w:iCs/>
          <w:color w:val="222222"/>
          <w:shd w:val="clear" w:color="auto" w:fill="FFFFFF"/>
        </w:rPr>
        <w:t> </w:t>
      </w:r>
      <w:hyperlink r:id="rId5" w:tgtFrame="_blank" w:history="1">
        <w:r>
          <w:rPr>
            <w:rStyle w:val="Hyperlink"/>
            <w:rFonts w:cs="Arial"/>
            <w:color w:val="1155CC"/>
            <w:shd w:val="clear" w:color="auto" w:fill="FFFFFF"/>
          </w:rPr>
          <w:t>https://us06web.zoom.us/j/4937680894?pwd=aGx2MFdDOEN0Y0RGMG5iN2JiWEg4QT09</w:t>
        </w:r>
      </w:hyperlink>
    </w:p>
    <w:p w14:paraId="03C4632D" w14:textId="77777777" w:rsidR="009F18E5" w:rsidRDefault="009F18E5" w:rsidP="009F18E5">
      <w:pPr>
        <w:pStyle w:val="NoSpacing"/>
        <w:jc w:val="center"/>
        <w:rPr>
          <w:b/>
          <w:bCs/>
        </w:rPr>
      </w:pPr>
    </w:p>
    <w:p w14:paraId="201D65AE" w14:textId="77777777" w:rsidR="009F18E5" w:rsidRPr="006349D4" w:rsidRDefault="009F18E5" w:rsidP="009F18E5">
      <w:pPr>
        <w:pStyle w:val="NoSpacing"/>
        <w:jc w:val="center"/>
        <w:rPr>
          <w:b/>
          <w:bCs/>
        </w:rPr>
      </w:pPr>
    </w:p>
    <w:tbl>
      <w:tblPr>
        <w:tblStyle w:val="TableGrid"/>
        <w:tblW w:w="10260" w:type="dxa"/>
        <w:tblInd w:w="-27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83"/>
        <w:gridCol w:w="2357"/>
        <w:gridCol w:w="1183"/>
        <w:gridCol w:w="1439"/>
        <w:gridCol w:w="4498"/>
      </w:tblGrid>
      <w:tr w:rsidR="009F18E5" w:rsidRPr="00EB06A2" w14:paraId="1E3D1589" w14:textId="77777777" w:rsidTr="006363EA">
        <w:trPr>
          <w:trHeight w:val="350"/>
        </w:trPr>
        <w:tc>
          <w:tcPr>
            <w:tcW w:w="783" w:type="dxa"/>
            <w:shd w:val="clear" w:color="auto" w:fill="auto"/>
          </w:tcPr>
          <w:p w14:paraId="22D27DC2" w14:textId="77777777" w:rsidR="009F18E5" w:rsidRPr="00DA017C" w:rsidRDefault="009F18E5" w:rsidP="006363EA">
            <w:pPr>
              <w:jc w:val="center"/>
              <w:rPr>
                <w:b/>
                <w:bCs/>
                <w:sz w:val="20"/>
                <w:szCs w:val="20"/>
              </w:rPr>
            </w:pPr>
            <w:r w:rsidRPr="00DA017C">
              <w:rPr>
                <w:b/>
                <w:bCs/>
                <w:sz w:val="20"/>
                <w:szCs w:val="20"/>
              </w:rPr>
              <w:t>TIME</w:t>
            </w:r>
          </w:p>
        </w:tc>
        <w:tc>
          <w:tcPr>
            <w:tcW w:w="2357" w:type="dxa"/>
          </w:tcPr>
          <w:p w14:paraId="002F4223" w14:textId="77777777" w:rsidR="009F18E5" w:rsidRPr="00DA017C" w:rsidRDefault="009F18E5" w:rsidP="006363EA">
            <w:pPr>
              <w:jc w:val="center"/>
              <w:rPr>
                <w:b/>
                <w:bCs/>
                <w:sz w:val="20"/>
                <w:szCs w:val="20"/>
              </w:rPr>
            </w:pPr>
            <w:r w:rsidRPr="00DA017C">
              <w:rPr>
                <w:b/>
                <w:bCs/>
                <w:sz w:val="20"/>
                <w:szCs w:val="20"/>
              </w:rPr>
              <w:t>TOPIC</w:t>
            </w:r>
          </w:p>
        </w:tc>
        <w:tc>
          <w:tcPr>
            <w:tcW w:w="1183" w:type="dxa"/>
          </w:tcPr>
          <w:p w14:paraId="3008F735" w14:textId="77777777" w:rsidR="009F18E5" w:rsidRPr="00DA017C" w:rsidRDefault="009F18E5" w:rsidP="006363EA">
            <w:pPr>
              <w:jc w:val="center"/>
              <w:rPr>
                <w:b/>
                <w:bCs/>
                <w:sz w:val="20"/>
                <w:szCs w:val="20"/>
              </w:rPr>
            </w:pPr>
            <w:r w:rsidRPr="00DA017C">
              <w:rPr>
                <w:b/>
                <w:bCs/>
                <w:sz w:val="20"/>
                <w:szCs w:val="20"/>
              </w:rPr>
              <w:t>TYPE</w:t>
            </w:r>
          </w:p>
        </w:tc>
        <w:tc>
          <w:tcPr>
            <w:tcW w:w="1439" w:type="dxa"/>
          </w:tcPr>
          <w:p w14:paraId="63007276" w14:textId="77777777" w:rsidR="009F18E5" w:rsidRPr="00DA017C" w:rsidRDefault="009F18E5" w:rsidP="006363EA">
            <w:pPr>
              <w:jc w:val="center"/>
              <w:rPr>
                <w:b/>
                <w:bCs/>
                <w:sz w:val="20"/>
                <w:szCs w:val="20"/>
              </w:rPr>
            </w:pPr>
            <w:r w:rsidRPr="00DA017C">
              <w:rPr>
                <w:b/>
                <w:bCs/>
                <w:sz w:val="20"/>
                <w:szCs w:val="20"/>
              </w:rPr>
              <w:t>PRESENTER</w:t>
            </w:r>
          </w:p>
        </w:tc>
        <w:tc>
          <w:tcPr>
            <w:tcW w:w="4498" w:type="dxa"/>
          </w:tcPr>
          <w:p w14:paraId="233408AA" w14:textId="77777777" w:rsidR="009F18E5" w:rsidRPr="00DA017C" w:rsidRDefault="009F18E5" w:rsidP="006363EA">
            <w:pPr>
              <w:jc w:val="center"/>
              <w:rPr>
                <w:b/>
                <w:bCs/>
                <w:sz w:val="20"/>
                <w:szCs w:val="20"/>
              </w:rPr>
            </w:pPr>
            <w:r w:rsidRPr="00DA017C">
              <w:rPr>
                <w:b/>
                <w:bCs/>
                <w:sz w:val="20"/>
                <w:szCs w:val="20"/>
              </w:rPr>
              <w:t>NOTES</w:t>
            </w:r>
          </w:p>
        </w:tc>
      </w:tr>
      <w:tr w:rsidR="009F18E5" w:rsidRPr="00397D01" w14:paraId="4C7DD0DD" w14:textId="77777777" w:rsidTr="006363EA">
        <w:trPr>
          <w:trHeight w:val="485"/>
        </w:trPr>
        <w:tc>
          <w:tcPr>
            <w:tcW w:w="783" w:type="dxa"/>
          </w:tcPr>
          <w:p w14:paraId="286FEFF4" w14:textId="06370DD1" w:rsidR="009F18E5" w:rsidRPr="00DA017C" w:rsidRDefault="009F18E5" w:rsidP="006363EA">
            <w:pPr>
              <w:rPr>
                <w:rFonts w:cs="Arial"/>
                <w:sz w:val="20"/>
                <w:szCs w:val="20"/>
              </w:rPr>
            </w:pPr>
            <w:r>
              <w:rPr>
                <w:rFonts w:cs="Arial"/>
                <w:sz w:val="20"/>
                <w:szCs w:val="20"/>
              </w:rPr>
              <w:t>3:00</w:t>
            </w:r>
          </w:p>
        </w:tc>
        <w:tc>
          <w:tcPr>
            <w:tcW w:w="2357" w:type="dxa"/>
          </w:tcPr>
          <w:p w14:paraId="69552C8B" w14:textId="77777777" w:rsidR="009F18E5" w:rsidRPr="00331EEF" w:rsidRDefault="009F18E5" w:rsidP="009F18E5">
            <w:pPr>
              <w:pStyle w:val="ListParagraph"/>
              <w:numPr>
                <w:ilvl w:val="0"/>
                <w:numId w:val="1"/>
              </w:numPr>
              <w:spacing w:line="360" w:lineRule="auto"/>
              <w:ind w:left="376"/>
              <w:rPr>
                <w:rFonts w:cs="Arial"/>
                <w:sz w:val="20"/>
                <w:szCs w:val="20"/>
              </w:rPr>
            </w:pPr>
            <w:r w:rsidRPr="00331EEF">
              <w:rPr>
                <w:rFonts w:cs="Arial"/>
                <w:sz w:val="20"/>
                <w:szCs w:val="20"/>
              </w:rPr>
              <w:t xml:space="preserve">Call to Order </w:t>
            </w:r>
          </w:p>
          <w:p w14:paraId="039AC696" w14:textId="77777777" w:rsidR="009F18E5" w:rsidRPr="00331EEF" w:rsidRDefault="009F18E5" w:rsidP="009F18E5">
            <w:pPr>
              <w:pStyle w:val="ListParagraph"/>
              <w:numPr>
                <w:ilvl w:val="0"/>
                <w:numId w:val="1"/>
              </w:numPr>
              <w:spacing w:line="360" w:lineRule="auto"/>
              <w:ind w:left="376"/>
              <w:rPr>
                <w:rFonts w:cs="Arial"/>
                <w:sz w:val="20"/>
                <w:szCs w:val="20"/>
              </w:rPr>
            </w:pPr>
            <w:r w:rsidRPr="00331EEF">
              <w:rPr>
                <w:rFonts w:cs="Arial"/>
                <w:sz w:val="20"/>
                <w:szCs w:val="20"/>
              </w:rPr>
              <w:t xml:space="preserve">Roll Call </w:t>
            </w:r>
          </w:p>
          <w:p w14:paraId="63C12628" w14:textId="77777777" w:rsidR="009F18E5" w:rsidRPr="00331EEF" w:rsidRDefault="009F18E5" w:rsidP="009F18E5">
            <w:pPr>
              <w:pStyle w:val="ListParagraph"/>
              <w:numPr>
                <w:ilvl w:val="0"/>
                <w:numId w:val="1"/>
              </w:numPr>
              <w:spacing w:line="360" w:lineRule="auto"/>
              <w:ind w:left="376"/>
              <w:rPr>
                <w:rFonts w:cs="Arial"/>
                <w:sz w:val="20"/>
                <w:szCs w:val="20"/>
              </w:rPr>
            </w:pPr>
            <w:r w:rsidRPr="00331EEF">
              <w:rPr>
                <w:rFonts w:cs="Arial"/>
                <w:sz w:val="20"/>
                <w:szCs w:val="20"/>
              </w:rPr>
              <w:t xml:space="preserve">Approval of Agenda </w:t>
            </w:r>
          </w:p>
          <w:p w14:paraId="03E1B92E" w14:textId="77777777" w:rsidR="009F18E5" w:rsidRDefault="009F18E5" w:rsidP="009F18E5">
            <w:pPr>
              <w:pStyle w:val="ListParagraph"/>
              <w:numPr>
                <w:ilvl w:val="0"/>
                <w:numId w:val="1"/>
              </w:numPr>
              <w:spacing w:line="360" w:lineRule="auto"/>
              <w:ind w:left="376"/>
              <w:rPr>
                <w:rFonts w:cs="Arial"/>
                <w:sz w:val="20"/>
                <w:szCs w:val="20"/>
              </w:rPr>
            </w:pPr>
            <w:r w:rsidRPr="00331EEF">
              <w:rPr>
                <w:rFonts w:cs="Arial"/>
                <w:sz w:val="20"/>
                <w:szCs w:val="20"/>
              </w:rPr>
              <w:t>Approval of Prior Meeting Minutes</w:t>
            </w:r>
          </w:p>
          <w:p w14:paraId="0589DBBA" w14:textId="77777777" w:rsidR="009F18E5" w:rsidRPr="00331EEF" w:rsidRDefault="009F18E5" w:rsidP="006363EA">
            <w:pPr>
              <w:pStyle w:val="ListParagraph"/>
              <w:spacing w:line="360" w:lineRule="auto"/>
              <w:ind w:left="376"/>
              <w:rPr>
                <w:rFonts w:cs="Arial"/>
                <w:sz w:val="20"/>
                <w:szCs w:val="20"/>
              </w:rPr>
            </w:pPr>
          </w:p>
        </w:tc>
        <w:tc>
          <w:tcPr>
            <w:tcW w:w="1183" w:type="dxa"/>
          </w:tcPr>
          <w:p w14:paraId="14BF2306" w14:textId="77777777" w:rsidR="009F18E5" w:rsidRPr="00DA017C" w:rsidRDefault="009F18E5" w:rsidP="006363EA">
            <w:pPr>
              <w:rPr>
                <w:rFonts w:cs="Arial"/>
                <w:sz w:val="20"/>
                <w:szCs w:val="20"/>
              </w:rPr>
            </w:pPr>
            <w:r w:rsidRPr="00DA017C">
              <w:rPr>
                <w:rFonts w:cs="Arial"/>
                <w:sz w:val="20"/>
                <w:szCs w:val="20"/>
              </w:rPr>
              <w:t>Action</w:t>
            </w:r>
          </w:p>
        </w:tc>
        <w:tc>
          <w:tcPr>
            <w:tcW w:w="1439" w:type="dxa"/>
          </w:tcPr>
          <w:p w14:paraId="03AF565B" w14:textId="77777777" w:rsidR="009F18E5" w:rsidRPr="00DA017C" w:rsidRDefault="009F18E5" w:rsidP="006363EA">
            <w:pPr>
              <w:rPr>
                <w:rFonts w:cs="Arial"/>
                <w:sz w:val="20"/>
                <w:szCs w:val="20"/>
              </w:rPr>
            </w:pPr>
            <w:r w:rsidRPr="00DA017C">
              <w:rPr>
                <w:rFonts w:cs="Arial"/>
                <w:sz w:val="20"/>
                <w:szCs w:val="20"/>
              </w:rPr>
              <w:t>Board Chair</w:t>
            </w:r>
          </w:p>
        </w:tc>
        <w:tc>
          <w:tcPr>
            <w:tcW w:w="4498" w:type="dxa"/>
          </w:tcPr>
          <w:p w14:paraId="789084DF" w14:textId="77777777" w:rsidR="009F18E5" w:rsidRDefault="009F18E5" w:rsidP="006363EA">
            <w:pPr>
              <w:rPr>
                <w:rFonts w:cs="Arial"/>
                <w:sz w:val="20"/>
                <w:szCs w:val="20"/>
              </w:rPr>
            </w:pPr>
          </w:p>
          <w:p w14:paraId="5B465878" w14:textId="22C50F3D" w:rsidR="009F18E5" w:rsidRDefault="009F18E5" w:rsidP="006363EA">
            <w:pPr>
              <w:rPr>
                <w:rFonts w:cs="Arial"/>
                <w:sz w:val="20"/>
                <w:szCs w:val="20"/>
              </w:rPr>
            </w:pPr>
            <w:r>
              <w:rPr>
                <w:rFonts w:cs="Arial"/>
                <w:sz w:val="20"/>
                <w:szCs w:val="20"/>
              </w:rPr>
              <w:t>Roll Call</w:t>
            </w:r>
            <w:r w:rsidR="00D832D2">
              <w:rPr>
                <w:rFonts w:cs="Arial"/>
                <w:sz w:val="20"/>
                <w:szCs w:val="20"/>
              </w:rPr>
              <w:t xml:space="preserve"> Chairman High, Trustee Reading, Trustee Robinson all in attendance.  Audit Team from Harris and Company were attendance.  Hale Fields and Michael </w:t>
            </w:r>
            <w:proofErr w:type="spellStart"/>
            <w:r w:rsidR="00D832D2">
              <w:rPr>
                <w:rFonts w:cs="Arial"/>
                <w:sz w:val="20"/>
                <w:szCs w:val="20"/>
              </w:rPr>
              <w:t>DelBindo</w:t>
            </w:r>
            <w:proofErr w:type="spellEnd"/>
            <w:r w:rsidR="00D832D2">
              <w:rPr>
                <w:rFonts w:cs="Arial"/>
                <w:sz w:val="20"/>
                <w:szCs w:val="20"/>
              </w:rPr>
              <w:t xml:space="preserve"> representing the firm. </w:t>
            </w:r>
          </w:p>
          <w:p w14:paraId="34BCDE5E" w14:textId="77777777" w:rsidR="009F18E5" w:rsidRDefault="009F18E5" w:rsidP="006363EA">
            <w:pPr>
              <w:rPr>
                <w:rFonts w:cs="Arial"/>
                <w:sz w:val="20"/>
                <w:szCs w:val="20"/>
              </w:rPr>
            </w:pPr>
          </w:p>
          <w:p w14:paraId="4CAB8FC5" w14:textId="659054AF" w:rsidR="009F18E5" w:rsidRDefault="009F18E5" w:rsidP="006363EA">
            <w:pPr>
              <w:rPr>
                <w:rFonts w:cs="Arial"/>
                <w:sz w:val="20"/>
                <w:szCs w:val="20"/>
              </w:rPr>
            </w:pPr>
            <w:r>
              <w:rPr>
                <w:rFonts w:cs="Arial"/>
                <w:sz w:val="20"/>
                <w:szCs w:val="20"/>
              </w:rPr>
              <w:t>Motion to approve Agenda.</w:t>
            </w:r>
            <w:r w:rsidR="00D832D2">
              <w:rPr>
                <w:rFonts w:cs="Arial"/>
                <w:sz w:val="20"/>
                <w:szCs w:val="20"/>
              </w:rPr>
              <w:t xml:space="preserve"> Trustee Reading made a motion to approve the agenda.  Trustee Robinson made a second.  Motion passed. </w:t>
            </w:r>
          </w:p>
          <w:p w14:paraId="6CB74750" w14:textId="77777777" w:rsidR="009F18E5" w:rsidRDefault="009F18E5" w:rsidP="006363EA">
            <w:pPr>
              <w:rPr>
                <w:rFonts w:cs="Arial"/>
                <w:sz w:val="20"/>
                <w:szCs w:val="20"/>
              </w:rPr>
            </w:pPr>
          </w:p>
          <w:p w14:paraId="4E37C498" w14:textId="44E266F7" w:rsidR="009F18E5" w:rsidRPr="00DA017C" w:rsidRDefault="009F18E5" w:rsidP="006363EA">
            <w:pPr>
              <w:rPr>
                <w:rFonts w:cs="Arial"/>
                <w:sz w:val="20"/>
                <w:szCs w:val="20"/>
              </w:rPr>
            </w:pPr>
            <w:r>
              <w:rPr>
                <w:rFonts w:cs="Arial"/>
                <w:sz w:val="20"/>
                <w:szCs w:val="20"/>
              </w:rPr>
              <w:t>Motion to approve prior meeting minutes.</w:t>
            </w:r>
            <w:r w:rsidR="00D832D2">
              <w:rPr>
                <w:rFonts w:cs="Arial"/>
                <w:sz w:val="20"/>
                <w:szCs w:val="20"/>
              </w:rPr>
              <w:t xml:space="preserve"> Trustee Robinson made a motion to approve the prior meeting minutes from September 26</w:t>
            </w:r>
            <w:r w:rsidR="00D832D2" w:rsidRPr="00D832D2">
              <w:rPr>
                <w:rFonts w:cs="Arial"/>
                <w:sz w:val="20"/>
                <w:szCs w:val="20"/>
                <w:vertAlign w:val="superscript"/>
              </w:rPr>
              <w:t>th</w:t>
            </w:r>
            <w:r w:rsidR="00D832D2">
              <w:rPr>
                <w:rFonts w:cs="Arial"/>
                <w:sz w:val="20"/>
                <w:szCs w:val="20"/>
              </w:rPr>
              <w:t xml:space="preserve">.  Trustee Reading made a second. Motion passed. </w:t>
            </w:r>
          </w:p>
        </w:tc>
      </w:tr>
      <w:tr w:rsidR="009F18E5" w:rsidRPr="00397D01" w14:paraId="43D7262E" w14:textId="77777777" w:rsidTr="006363EA">
        <w:tc>
          <w:tcPr>
            <w:tcW w:w="783" w:type="dxa"/>
          </w:tcPr>
          <w:p w14:paraId="11C2795E" w14:textId="3746BFE1" w:rsidR="009F18E5" w:rsidRPr="00DA017C" w:rsidRDefault="009F18E5" w:rsidP="006363EA">
            <w:pPr>
              <w:rPr>
                <w:rFonts w:cs="Arial"/>
                <w:sz w:val="20"/>
                <w:szCs w:val="20"/>
              </w:rPr>
            </w:pPr>
            <w:r>
              <w:rPr>
                <w:rFonts w:cs="Arial"/>
                <w:sz w:val="20"/>
                <w:szCs w:val="20"/>
              </w:rPr>
              <w:t>3:05</w:t>
            </w:r>
          </w:p>
        </w:tc>
        <w:tc>
          <w:tcPr>
            <w:tcW w:w="2357" w:type="dxa"/>
          </w:tcPr>
          <w:p w14:paraId="6CB6BEC6" w14:textId="77777777" w:rsidR="009F18E5" w:rsidRPr="00DA017C" w:rsidRDefault="009F18E5" w:rsidP="006363EA">
            <w:pPr>
              <w:rPr>
                <w:rFonts w:cs="Arial"/>
                <w:sz w:val="20"/>
                <w:szCs w:val="20"/>
              </w:rPr>
            </w:pPr>
            <w:r w:rsidRPr="00DA017C">
              <w:rPr>
                <w:rFonts w:cs="Arial"/>
                <w:sz w:val="20"/>
                <w:szCs w:val="20"/>
              </w:rPr>
              <w:t>Public Comment</w:t>
            </w:r>
          </w:p>
        </w:tc>
        <w:tc>
          <w:tcPr>
            <w:tcW w:w="1183" w:type="dxa"/>
          </w:tcPr>
          <w:p w14:paraId="39C1918A" w14:textId="77777777" w:rsidR="009F18E5" w:rsidRPr="00DA017C" w:rsidRDefault="009F18E5" w:rsidP="006363EA">
            <w:pPr>
              <w:rPr>
                <w:rFonts w:cs="Arial"/>
                <w:sz w:val="20"/>
                <w:szCs w:val="20"/>
              </w:rPr>
            </w:pPr>
            <w:r w:rsidRPr="00DA017C">
              <w:rPr>
                <w:rFonts w:cs="Arial"/>
                <w:sz w:val="20"/>
                <w:szCs w:val="20"/>
              </w:rPr>
              <w:t>Discussion</w:t>
            </w:r>
          </w:p>
        </w:tc>
        <w:tc>
          <w:tcPr>
            <w:tcW w:w="1439" w:type="dxa"/>
          </w:tcPr>
          <w:p w14:paraId="51F92C48" w14:textId="77777777" w:rsidR="009F18E5" w:rsidRPr="00DA017C" w:rsidRDefault="009F18E5" w:rsidP="006363EA">
            <w:pPr>
              <w:rPr>
                <w:rFonts w:cs="Arial"/>
                <w:sz w:val="20"/>
                <w:szCs w:val="20"/>
              </w:rPr>
            </w:pPr>
            <w:r w:rsidRPr="00DA017C">
              <w:rPr>
                <w:rFonts w:cs="Arial"/>
                <w:sz w:val="20"/>
                <w:szCs w:val="20"/>
              </w:rPr>
              <w:t>Board Chair</w:t>
            </w:r>
          </w:p>
        </w:tc>
        <w:tc>
          <w:tcPr>
            <w:tcW w:w="4498" w:type="dxa"/>
          </w:tcPr>
          <w:p w14:paraId="5F249521" w14:textId="77777777" w:rsidR="009F18E5" w:rsidRPr="00DD5FE9" w:rsidRDefault="009F18E5" w:rsidP="006363EA">
            <w:pPr>
              <w:rPr>
                <w:rFonts w:cs="Arial"/>
                <w:sz w:val="20"/>
                <w:szCs w:val="20"/>
              </w:rPr>
            </w:pPr>
            <w:proofErr w:type="gramStart"/>
            <w:r w:rsidRPr="00DD5FE9">
              <w:rPr>
                <w:rFonts w:cs="Arial"/>
                <w:sz w:val="20"/>
                <w:szCs w:val="20"/>
              </w:rPr>
              <w:t>Inquire of</w:t>
            </w:r>
            <w:proofErr w:type="gramEnd"/>
            <w:r w:rsidRPr="00DD5FE9">
              <w:rPr>
                <w:rFonts w:cs="Arial"/>
                <w:sz w:val="20"/>
                <w:szCs w:val="20"/>
              </w:rPr>
              <w:t xml:space="preserve"> conference</w:t>
            </w:r>
            <w:r>
              <w:rPr>
                <w:rFonts w:cs="Arial"/>
                <w:sz w:val="20"/>
                <w:szCs w:val="20"/>
              </w:rPr>
              <w:t xml:space="preserve"> </w:t>
            </w:r>
            <w:r w:rsidRPr="00DD5FE9">
              <w:rPr>
                <w:rFonts w:cs="Arial"/>
                <w:sz w:val="20"/>
                <w:szCs w:val="20"/>
              </w:rPr>
              <w:t>connections. 3 min</w:t>
            </w:r>
          </w:p>
          <w:p w14:paraId="1979FE10" w14:textId="5BA01331" w:rsidR="009F18E5" w:rsidRDefault="009F18E5" w:rsidP="006363EA">
            <w:pPr>
              <w:rPr>
                <w:rFonts w:cs="Arial"/>
                <w:sz w:val="20"/>
                <w:szCs w:val="20"/>
              </w:rPr>
            </w:pPr>
            <w:r w:rsidRPr="00DD5FE9">
              <w:rPr>
                <w:rFonts w:cs="Arial"/>
                <w:sz w:val="20"/>
                <w:szCs w:val="20"/>
              </w:rPr>
              <w:t>max per person</w:t>
            </w:r>
            <w:r w:rsidR="00D832D2">
              <w:rPr>
                <w:rFonts w:cs="Arial"/>
                <w:sz w:val="20"/>
                <w:szCs w:val="20"/>
              </w:rPr>
              <w:t xml:space="preserve">.  No members of the public were present.  </w:t>
            </w:r>
          </w:p>
          <w:p w14:paraId="781474F0" w14:textId="77777777" w:rsidR="009F18E5" w:rsidRPr="00DA017C" w:rsidRDefault="009F18E5" w:rsidP="006363EA">
            <w:pPr>
              <w:rPr>
                <w:rFonts w:cs="Arial"/>
                <w:sz w:val="20"/>
                <w:szCs w:val="20"/>
              </w:rPr>
            </w:pPr>
          </w:p>
        </w:tc>
      </w:tr>
      <w:tr w:rsidR="009F18E5" w:rsidRPr="00397D01" w14:paraId="50B31C6D" w14:textId="77777777" w:rsidTr="006363EA">
        <w:tc>
          <w:tcPr>
            <w:tcW w:w="783" w:type="dxa"/>
          </w:tcPr>
          <w:p w14:paraId="2FE08A74" w14:textId="595443C5" w:rsidR="009F18E5" w:rsidRDefault="009F18E5" w:rsidP="006363EA">
            <w:pPr>
              <w:rPr>
                <w:rFonts w:cs="Arial"/>
                <w:sz w:val="20"/>
                <w:szCs w:val="20"/>
              </w:rPr>
            </w:pPr>
            <w:r>
              <w:rPr>
                <w:rFonts w:cs="Arial"/>
                <w:sz w:val="20"/>
                <w:szCs w:val="20"/>
              </w:rPr>
              <w:t>3:10</w:t>
            </w:r>
          </w:p>
        </w:tc>
        <w:tc>
          <w:tcPr>
            <w:tcW w:w="2357" w:type="dxa"/>
          </w:tcPr>
          <w:p w14:paraId="542C5284" w14:textId="3DB8D863" w:rsidR="009F18E5" w:rsidRDefault="009F18E5" w:rsidP="006363EA">
            <w:pPr>
              <w:rPr>
                <w:rFonts w:cs="Arial"/>
                <w:sz w:val="20"/>
                <w:szCs w:val="20"/>
              </w:rPr>
            </w:pPr>
            <w:r w:rsidRPr="00923CF7">
              <w:rPr>
                <w:rFonts w:cs="Arial"/>
                <w:sz w:val="20"/>
                <w:szCs w:val="20"/>
              </w:rPr>
              <w:t>State of the School Financially</w:t>
            </w:r>
            <w:r>
              <w:rPr>
                <w:rFonts w:cs="Arial"/>
                <w:sz w:val="20"/>
                <w:szCs w:val="20"/>
              </w:rPr>
              <w:t xml:space="preserve"> Annual School Audit</w:t>
            </w:r>
          </w:p>
          <w:p w14:paraId="43666BA4" w14:textId="77777777" w:rsidR="009F18E5" w:rsidRPr="00DA017C" w:rsidRDefault="009F18E5" w:rsidP="006363EA">
            <w:pPr>
              <w:rPr>
                <w:rFonts w:cs="Arial"/>
                <w:sz w:val="20"/>
                <w:szCs w:val="20"/>
              </w:rPr>
            </w:pPr>
          </w:p>
        </w:tc>
        <w:tc>
          <w:tcPr>
            <w:tcW w:w="1183" w:type="dxa"/>
          </w:tcPr>
          <w:p w14:paraId="4B3C5CAD" w14:textId="77777777" w:rsidR="009F18E5" w:rsidRDefault="009F18E5" w:rsidP="006363EA">
            <w:pPr>
              <w:rPr>
                <w:rFonts w:cs="Arial"/>
                <w:sz w:val="20"/>
                <w:szCs w:val="20"/>
              </w:rPr>
            </w:pPr>
            <w:r>
              <w:rPr>
                <w:rFonts w:cs="Arial"/>
                <w:sz w:val="20"/>
                <w:szCs w:val="20"/>
              </w:rPr>
              <w:t>Discussion</w:t>
            </w:r>
          </w:p>
          <w:p w14:paraId="65BC3A7A" w14:textId="77777777" w:rsidR="009F18E5" w:rsidRPr="00DA017C" w:rsidRDefault="009F18E5" w:rsidP="006363EA">
            <w:pPr>
              <w:rPr>
                <w:rFonts w:cs="Arial"/>
                <w:sz w:val="20"/>
                <w:szCs w:val="20"/>
              </w:rPr>
            </w:pPr>
          </w:p>
        </w:tc>
        <w:tc>
          <w:tcPr>
            <w:tcW w:w="1439" w:type="dxa"/>
          </w:tcPr>
          <w:p w14:paraId="011C4E2A" w14:textId="77777777" w:rsidR="009F18E5" w:rsidRDefault="009F18E5" w:rsidP="006363EA">
            <w:pPr>
              <w:rPr>
                <w:rFonts w:cs="Arial"/>
                <w:sz w:val="20"/>
                <w:szCs w:val="20"/>
              </w:rPr>
            </w:pPr>
            <w:r>
              <w:rPr>
                <w:rFonts w:cs="Arial"/>
                <w:sz w:val="20"/>
                <w:szCs w:val="20"/>
              </w:rPr>
              <w:t>HOS Vickie McCullough</w:t>
            </w:r>
            <w:r w:rsidRPr="00923CF7">
              <w:rPr>
                <w:rFonts w:cs="Arial"/>
                <w:sz w:val="20"/>
                <w:szCs w:val="20"/>
              </w:rPr>
              <w:t xml:space="preserve"> and Nystrom Consulting</w:t>
            </w:r>
          </w:p>
          <w:p w14:paraId="35EF4DB1" w14:textId="77777777" w:rsidR="009F18E5" w:rsidRPr="00DA017C" w:rsidRDefault="009F18E5" w:rsidP="006363EA">
            <w:pPr>
              <w:rPr>
                <w:rFonts w:cs="Arial"/>
                <w:sz w:val="20"/>
                <w:szCs w:val="20"/>
              </w:rPr>
            </w:pPr>
          </w:p>
        </w:tc>
        <w:tc>
          <w:tcPr>
            <w:tcW w:w="4498" w:type="dxa"/>
          </w:tcPr>
          <w:p w14:paraId="38844E21" w14:textId="77777777" w:rsidR="009F18E5" w:rsidRDefault="009F18E5" w:rsidP="006363EA">
            <w:pPr>
              <w:rPr>
                <w:rFonts w:cs="Arial"/>
                <w:sz w:val="20"/>
                <w:szCs w:val="20"/>
              </w:rPr>
            </w:pPr>
          </w:p>
          <w:p w14:paraId="343C204E" w14:textId="3D026090" w:rsidR="009F18E5" w:rsidRDefault="00D832D2" w:rsidP="006363EA">
            <w:pPr>
              <w:rPr>
                <w:rFonts w:cs="Arial"/>
                <w:sz w:val="20"/>
                <w:szCs w:val="20"/>
              </w:rPr>
            </w:pPr>
            <w:r>
              <w:rPr>
                <w:rFonts w:cs="Arial"/>
                <w:sz w:val="20"/>
                <w:szCs w:val="20"/>
              </w:rPr>
              <w:t xml:space="preserve">The HOS introduced the audit team to the board.  Hale Fields began by sharing a brief background of the audit process from the planning stage to the field work and interview stage that ultimately leads to the independent report.  The audit team discussed the basic financial statements as represented and began on page 8 of the audit.  Summary includes: </w:t>
            </w:r>
          </w:p>
          <w:p w14:paraId="5BF370D6" w14:textId="682F5E39" w:rsidR="00D832D2" w:rsidRDefault="00D832D2" w:rsidP="00D832D2">
            <w:pPr>
              <w:pStyle w:val="ListParagraph"/>
              <w:numPr>
                <w:ilvl w:val="0"/>
                <w:numId w:val="2"/>
              </w:numPr>
              <w:rPr>
                <w:rFonts w:cs="Arial"/>
                <w:sz w:val="20"/>
                <w:szCs w:val="20"/>
              </w:rPr>
            </w:pPr>
            <w:r>
              <w:rPr>
                <w:rFonts w:cs="Arial"/>
                <w:sz w:val="20"/>
                <w:szCs w:val="20"/>
              </w:rPr>
              <w:t xml:space="preserve">The statement of net position and activities displays the information about the activities of the charter through direct expenses, indirect expenses, and program revenues.  </w:t>
            </w:r>
          </w:p>
          <w:p w14:paraId="3DCD8577" w14:textId="1379F687" w:rsidR="00D832D2" w:rsidRDefault="00D832D2" w:rsidP="00D832D2">
            <w:pPr>
              <w:pStyle w:val="ListParagraph"/>
              <w:numPr>
                <w:ilvl w:val="0"/>
                <w:numId w:val="2"/>
              </w:numPr>
              <w:rPr>
                <w:rFonts w:cs="Arial"/>
                <w:sz w:val="20"/>
                <w:szCs w:val="20"/>
              </w:rPr>
            </w:pPr>
            <w:r>
              <w:rPr>
                <w:rFonts w:cs="Arial"/>
                <w:sz w:val="20"/>
                <w:szCs w:val="20"/>
              </w:rPr>
              <w:t xml:space="preserve">The general fund is the charter’s primary operating </w:t>
            </w:r>
            <w:proofErr w:type="gramStart"/>
            <w:r>
              <w:rPr>
                <w:rFonts w:cs="Arial"/>
                <w:sz w:val="20"/>
                <w:szCs w:val="20"/>
              </w:rPr>
              <w:t>fund</w:t>
            </w:r>
            <w:proofErr w:type="gramEnd"/>
          </w:p>
          <w:p w14:paraId="37BA4846" w14:textId="232DA69C" w:rsidR="00D832D2" w:rsidRDefault="007746DF" w:rsidP="00D832D2">
            <w:pPr>
              <w:pStyle w:val="ListParagraph"/>
              <w:numPr>
                <w:ilvl w:val="0"/>
                <w:numId w:val="2"/>
              </w:numPr>
              <w:rPr>
                <w:rFonts w:cs="Arial"/>
                <w:sz w:val="20"/>
                <w:szCs w:val="20"/>
              </w:rPr>
            </w:pPr>
            <w:r>
              <w:rPr>
                <w:rFonts w:cs="Arial"/>
                <w:sz w:val="20"/>
                <w:szCs w:val="20"/>
              </w:rPr>
              <w:t xml:space="preserve">The charter has adopted GASB Statement 96 for compliancy and as a result of the adoption there was </w:t>
            </w:r>
            <w:proofErr w:type="gramStart"/>
            <w:r>
              <w:rPr>
                <w:rFonts w:cs="Arial"/>
                <w:sz w:val="20"/>
                <w:szCs w:val="20"/>
              </w:rPr>
              <w:t>not</w:t>
            </w:r>
            <w:proofErr w:type="gramEnd"/>
            <w:r>
              <w:rPr>
                <w:rFonts w:cs="Arial"/>
                <w:sz w:val="20"/>
                <w:szCs w:val="20"/>
              </w:rPr>
              <w:t xml:space="preserve"> </w:t>
            </w:r>
            <w:proofErr w:type="gramStart"/>
            <w:r>
              <w:rPr>
                <w:rFonts w:cs="Arial"/>
                <w:sz w:val="20"/>
                <w:szCs w:val="20"/>
              </w:rPr>
              <w:t>effect</w:t>
            </w:r>
            <w:proofErr w:type="gramEnd"/>
            <w:r>
              <w:rPr>
                <w:rFonts w:cs="Arial"/>
                <w:sz w:val="20"/>
                <w:szCs w:val="20"/>
              </w:rPr>
              <w:t xml:space="preserve"> on beginning fund balances or net position.  </w:t>
            </w:r>
          </w:p>
          <w:p w14:paraId="034DE6A5" w14:textId="1333C206" w:rsidR="007746DF" w:rsidRDefault="007746DF" w:rsidP="00D832D2">
            <w:pPr>
              <w:pStyle w:val="ListParagraph"/>
              <w:numPr>
                <w:ilvl w:val="0"/>
                <w:numId w:val="2"/>
              </w:numPr>
              <w:rPr>
                <w:rFonts w:cs="Arial"/>
                <w:sz w:val="20"/>
                <w:szCs w:val="20"/>
              </w:rPr>
            </w:pPr>
            <w:r>
              <w:rPr>
                <w:rFonts w:cs="Arial"/>
                <w:sz w:val="20"/>
                <w:szCs w:val="20"/>
              </w:rPr>
              <w:lastRenderedPageBreak/>
              <w:t xml:space="preserve">Charters capital assets are comprised of laptops.  </w:t>
            </w:r>
          </w:p>
          <w:p w14:paraId="7A1777CE" w14:textId="63162FAE" w:rsidR="007746DF" w:rsidRDefault="007746DF" w:rsidP="00D832D2">
            <w:pPr>
              <w:pStyle w:val="ListParagraph"/>
              <w:numPr>
                <w:ilvl w:val="0"/>
                <w:numId w:val="2"/>
              </w:numPr>
              <w:rPr>
                <w:rFonts w:cs="Arial"/>
                <w:sz w:val="20"/>
                <w:szCs w:val="20"/>
              </w:rPr>
            </w:pPr>
            <w:r>
              <w:rPr>
                <w:rFonts w:cs="Arial"/>
                <w:sz w:val="20"/>
                <w:szCs w:val="20"/>
              </w:rPr>
              <w:t xml:space="preserve">The charter has </w:t>
            </w:r>
            <w:proofErr w:type="gramStart"/>
            <w:r>
              <w:rPr>
                <w:rFonts w:cs="Arial"/>
                <w:sz w:val="20"/>
                <w:szCs w:val="20"/>
              </w:rPr>
              <w:t>recorded</w:t>
            </w:r>
            <w:proofErr w:type="gramEnd"/>
            <w:r>
              <w:rPr>
                <w:rFonts w:cs="Arial"/>
                <w:sz w:val="20"/>
                <w:szCs w:val="20"/>
              </w:rPr>
              <w:t xml:space="preserve"> right to use leased assets in accordance with GASB 87.  </w:t>
            </w:r>
          </w:p>
          <w:p w14:paraId="7FFCE7AE" w14:textId="0562D82C" w:rsidR="007746DF" w:rsidRDefault="007746DF" w:rsidP="00D832D2">
            <w:pPr>
              <w:pStyle w:val="ListParagraph"/>
              <w:numPr>
                <w:ilvl w:val="0"/>
                <w:numId w:val="2"/>
              </w:numPr>
              <w:rPr>
                <w:rFonts w:cs="Arial"/>
                <w:sz w:val="20"/>
                <w:szCs w:val="20"/>
              </w:rPr>
            </w:pPr>
            <w:r>
              <w:rPr>
                <w:rFonts w:cs="Arial"/>
                <w:sz w:val="20"/>
                <w:szCs w:val="20"/>
              </w:rPr>
              <w:t xml:space="preserve">Accounts payable are current and are not over 61 days past due. </w:t>
            </w:r>
          </w:p>
          <w:p w14:paraId="28DAE89D" w14:textId="3C005407" w:rsidR="007746DF" w:rsidRDefault="007746DF" w:rsidP="00D832D2">
            <w:pPr>
              <w:pStyle w:val="ListParagraph"/>
              <w:numPr>
                <w:ilvl w:val="0"/>
                <w:numId w:val="2"/>
              </w:numPr>
              <w:rPr>
                <w:rFonts w:cs="Arial"/>
                <w:sz w:val="20"/>
                <w:szCs w:val="20"/>
              </w:rPr>
            </w:pPr>
            <w:r>
              <w:rPr>
                <w:rFonts w:cs="Arial"/>
                <w:sz w:val="20"/>
                <w:szCs w:val="20"/>
              </w:rPr>
              <w:t xml:space="preserve">As the charter is </w:t>
            </w:r>
            <w:proofErr w:type="spellStart"/>
            <w:proofErr w:type="gramStart"/>
            <w:r>
              <w:rPr>
                <w:rFonts w:cs="Arial"/>
                <w:sz w:val="20"/>
                <w:szCs w:val="20"/>
              </w:rPr>
              <w:t>non profit</w:t>
            </w:r>
            <w:proofErr w:type="spellEnd"/>
            <w:proofErr w:type="gramEnd"/>
            <w:r>
              <w:rPr>
                <w:rFonts w:cs="Arial"/>
                <w:sz w:val="20"/>
                <w:szCs w:val="20"/>
              </w:rPr>
              <w:t xml:space="preserve"> no provision for income taxes is made in the financial statements. </w:t>
            </w:r>
          </w:p>
          <w:p w14:paraId="04C8CC55" w14:textId="7FF88774" w:rsidR="007746DF" w:rsidRDefault="007746DF" w:rsidP="00D832D2">
            <w:pPr>
              <w:pStyle w:val="ListParagraph"/>
              <w:numPr>
                <w:ilvl w:val="0"/>
                <w:numId w:val="2"/>
              </w:numPr>
              <w:rPr>
                <w:rFonts w:cs="Arial"/>
                <w:sz w:val="20"/>
                <w:szCs w:val="20"/>
              </w:rPr>
            </w:pPr>
            <w:r>
              <w:rPr>
                <w:rFonts w:cs="Arial"/>
                <w:sz w:val="20"/>
                <w:szCs w:val="20"/>
              </w:rPr>
              <w:t xml:space="preserve">The charter has taken steps to minimize risk in the event of bank failure through a cash sweep account.  </w:t>
            </w:r>
          </w:p>
          <w:p w14:paraId="2773CF98" w14:textId="73C01578" w:rsidR="007746DF" w:rsidRDefault="007746DF" w:rsidP="00D832D2">
            <w:pPr>
              <w:pStyle w:val="ListParagraph"/>
              <w:numPr>
                <w:ilvl w:val="0"/>
                <w:numId w:val="2"/>
              </w:numPr>
              <w:rPr>
                <w:rFonts w:cs="Arial"/>
                <w:sz w:val="20"/>
                <w:szCs w:val="20"/>
              </w:rPr>
            </w:pPr>
            <w:r>
              <w:rPr>
                <w:rFonts w:cs="Arial"/>
                <w:sz w:val="20"/>
                <w:szCs w:val="20"/>
              </w:rPr>
              <w:t>The charter has followed the budgets and budgetary accounting as set forth by the Idaho Code</w:t>
            </w:r>
          </w:p>
          <w:p w14:paraId="68AD0A8D" w14:textId="236C0B99" w:rsidR="007746DF" w:rsidRDefault="007746DF" w:rsidP="00D832D2">
            <w:pPr>
              <w:pStyle w:val="ListParagraph"/>
              <w:numPr>
                <w:ilvl w:val="0"/>
                <w:numId w:val="2"/>
              </w:numPr>
              <w:rPr>
                <w:rFonts w:cs="Arial"/>
                <w:sz w:val="20"/>
                <w:szCs w:val="20"/>
              </w:rPr>
            </w:pPr>
            <w:r>
              <w:rPr>
                <w:rFonts w:cs="Arial"/>
                <w:sz w:val="20"/>
                <w:szCs w:val="20"/>
              </w:rPr>
              <w:t xml:space="preserve">The audit revealed a finding for year end closing process with the charter not having an effect process for reconciling and closing the general ledger accounts at year end. </w:t>
            </w:r>
          </w:p>
          <w:p w14:paraId="0B94DD35" w14:textId="335D21E4" w:rsidR="007746DF" w:rsidRPr="00D832D2" w:rsidRDefault="007746DF" w:rsidP="00D832D2">
            <w:pPr>
              <w:pStyle w:val="ListParagraph"/>
              <w:numPr>
                <w:ilvl w:val="0"/>
                <w:numId w:val="2"/>
              </w:numPr>
              <w:rPr>
                <w:rFonts w:cs="Arial"/>
                <w:sz w:val="20"/>
                <w:szCs w:val="20"/>
              </w:rPr>
            </w:pPr>
            <w:r>
              <w:rPr>
                <w:rFonts w:cs="Arial"/>
                <w:sz w:val="20"/>
                <w:szCs w:val="20"/>
              </w:rPr>
              <w:t xml:space="preserve">In response to the finding management will ensure timely reconciliations and review of interim financial statements will be reviewed monthly.  </w:t>
            </w:r>
          </w:p>
          <w:p w14:paraId="46B60A3A" w14:textId="1435714E" w:rsidR="00D832D2" w:rsidRPr="00DD5FE9" w:rsidRDefault="00D832D2" w:rsidP="006363EA">
            <w:pPr>
              <w:rPr>
                <w:rFonts w:cs="Arial"/>
                <w:sz w:val="20"/>
                <w:szCs w:val="20"/>
              </w:rPr>
            </w:pPr>
          </w:p>
        </w:tc>
      </w:tr>
      <w:tr w:rsidR="009F18E5" w:rsidRPr="00397D01" w14:paraId="58972A77" w14:textId="77777777" w:rsidTr="006363EA">
        <w:tc>
          <w:tcPr>
            <w:tcW w:w="783" w:type="dxa"/>
          </w:tcPr>
          <w:p w14:paraId="025654C6" w14:textId="13F0EFF1" w:rsidR="009F18E5" w:rsidRDefault="009F18E5" w:rsidP="006363EA">
            <w:pPr>
              <w:rPr>
                <w:rFonts w:cs="Arial"/>
                <w:sz w:val="20"/>
                <w:szCs w:val="20"/>
              </w:rPr>
            </w:pPr>
            <w:r>
              <w:rPr>
                <w:rFonts w:cs="Arial"/>
                <w:sz w:val="20"/>
                <w:szCs w:val="20"/>
              </w:rPr>
              <w:lastRenderedPageBreak/>
              <w:t xml:space="preserve">4:00 </w:t>
            </w:r>
          </w:p>
        </w:tc>
        <w:tc>
          <w:tcPr>
            <w:tcW w:w="2357" w:type="dxa"/>
          </w:tcPr>
          <w:p w14:paraId="44FED4DF" w14:textId="11E1B41A" w:rsidR="009F18E5" w:rsidRDefault="009F18E5" w:rsidP="006363EA">
            <w:pPr>
              <w:rPr>
                <w:rFonts w:cs="Arial"/>
                <w:sz w:val="20"/>
                <w:szCs w:val="20"/>
              </w:rPr>
            </w:pPr>
            <w:r>
              <w:rPr>
                <w:rFonts w:cs="Arial"/>
                <w:sz w:val="20"/>
                <w:szCs w:val="20"/>
              </w:rPr>
              <w:t>Meeting Adjourns</w:t>
            </w:r>
          </w:p>
        </w:tc>
        <w:tc>
          <w:tcPr>
            <w:tcW w:w="1183" w:type="dxa"/>
          </w:tcPr>
          <w:p w14:paraId="7F39378B" w14:textId="2440A2B4" w:rsidR="009F18E5" w:rsidRDefault="009F18E5" w:rsidP="006363EA">
            <w:pPr>
              <w:rPr>
                <w:rFonts w:cs="Arial"/>
                <w:sz w:val="20"/>
                <w:szCs w:val="20"/>
              </w:rPr>
            </w:pPr>
            <w:r>
              <w:rPr>
                <w:rFonts w:cs="Arial"/>
                <w:sz w:val="20"/>
                <w:szCs w:val="20"/>
              </w:rPr>
              <w:t>Action</w:t>
            </w:r>
          </w:p>
        </w:tc>
        <w:tc>
          <w:tcPr>
            <w:tcW w:w="1439" w:type="dxa"/>
          </w:tcPr>
          <w:p w14:paraId="23269DBE" w14:textId="74BA646F" w:rsidR="009F18E5" w:rsidRDefault="009F18E5" w:rsidP="006363EA">
            <w:pPr>
              <w:rPr>
                <w:rFonts w:cs="Arial"/>
                <w:sz w:val="20"/>
                <w:szCs w:val="20"/>
              </w:rPr>
            </w:pPr>
            <w:r>
              <w:rPr>
                <w:rFonts w:cs="Arial"/>
                <w:sz w:val="20"/>
                <w:szCs w:val="20"/>
              </w:rPr>
              <w:t>Board Chair</w:t>
            </w:r>
          </w:p>
        </w:tc>
        <w:tc>
          <w:tcPr>
            <w:tcW w:w="4498" w:type="dxa"/>
          </w:tcPr>
          <w:p w14:paraId="1B7E5532" w14:textId="5938C8E7" w:rsidR="009F18E5" w:rsidRDefault="009F18E5" w:rsidP="006363EA">
            <w:pPr>
              <w:rPr>
                <w:rFonts w:cs="Arial"/>
                <w:sz w:val="20"/>
                <w:szCs w:val="20"/>
              </w:rPr>
            </w:pPr>
            <w:r>
              <w:rPr>
                <w:rFonts w:cs="Arial"/>
                <w:sz w:val="20"/>
                <w:szCs w:val="20"/>
              </w:rPr>
              <w:t>Motion to adjourn</w:t>
            </w:r>
            <w:r w:rsidR="007746DF">
              <w:rPr>
                <w:rFonts w:cs="Arial"/>
                <w:sz w:val="20"/>
                <w:szCs w:val="20"/>
              </w:rPr>
              <w:t xml:space="preserve"> at 4:00.  Trustee Reading made the motion.  Trustee Robinsons made a second. Motion approved.  </w:t>
            </w:r>
          </w:p>
        </w:tc>
      </w:tr>
      <w:tr w:rsidR="009F18E5" w:rsidRPr="00397D01" w14:paraId="108E1E69" w14:textId="77777777" w:rsidTr="006363EA">
        <w:tc>
          <w:tcPr>
            <w:tcW w:w="783" w:type="dxa"/>
          </w:tcPr>
          <w:p w14:paraId="3A450620" w14:textId="6204D831" w:rsidR="009F18E5" w:rsidRDefault="009F18E5" w:rsidP="006363EA">
            <w:pPr>
              <w:rPr>
                <w:rFonts w:cs="Arial"/>
                <w:sz w:val="20"/>
                <w:szCs w:val="20"/>
              </w:rPr>
            </w:pPr>
          </w:p>
        </w:tc>
        <w:tc>
          <w:tcPr>
            <w:tcW w:w="2357" w:type="dxa"/>
          </w:tcPr>
          <w:p w14:paraId="0508CCE0" w14:textId="3B05A12C" w:rsidR="009F18E5" w:rsidRDefault="009F18E5" w:rsidP="006363EA">
            <w:pPr>
              <w:rPr>
                <w:rFonts w:cs="Arial"/>
                <w:sz w:val="20"/>
                <w:szCs w:val="20"/>
              </w:rPr>
            </w:pPr>
          </w:p>
        </w:tc>
        <w:tc>
          <w:tcPr>
            <w:tcW w:w="1183" w:type="dxa"/>
          </w:tcPr>
          <w:p w14:paraId="3DA85949" w14:textId="1B41812F" w:rsidR="009F18E5" w:rsidRDefault="009F18E5" w:rsidP="006363EA">
            <w:pPr>
              <w:rPr>
                <w:rFonts w:cs="Arial"/>
                <w:sz w:val="20"/>
                <w:szCs w:val="20"/>
              </w:rPr>
            </w:pPr>
          </w:p>
        </w:tc>
        <w:tc>
          <w:tcPr>
            <w:tcW w:w="1439" w:type="dxa"/>
          </w:tcPr>
          <w:p w14:paraId="1167C316" w14:textId="77777777" w:rsidR="009F18E5" w:rsidRDefault="009F18E5" w:rsidP="006363EA">
            <w:pPr>
              <w:rPr>
                <w:rFonts w:cs="Arial"/>
                <w:sz w:val="20"/>
                <w:szCs w:val="20"/>
              </w:rPr>
            </w:pPr>
          </w:p>
        </w:tc>
        <w:tc>
          <w:tcPr>
            <w:tcW w:w="4498" w:type="dxa"/>
          </w:tcPr>
          <w:p w14:paraId="54B3CB61" w14:textId="77777777" w:rsidR="009F18E5" w:rsidRDefault="009F18E5" w:rsidP="006363EA">
            <w:pPr>
              <w:rPr>
                <w:rFonts w:cs="Arial"/>
                <w:sz w:val="20"/>
                <w:szCs w:val="20"/>
              </w:rPr>
            </w:pPr>
          </w:p>
        </w:tc>
      </w:tr>
      <w:tr w:rsidR="009F18E5" w:rsidRPr="00397D01" w14:paraId="75695C17" w14:textId="77777777" w:rsidTr="009F18E5">
        <w:trPr>
          <w:trHeight w:val="70"/>
        </w:trPr>
        <w:tc>
          <w:tcPr>
            <w:tcW w:w="783" w:type="dxa"/>
          </w:tcPr>
          <w:p w14:paraId="37315146" w14:textId="231BC00F" w:rsidR="009F18E5" w:rsidRPr="00DA017C" w:rsidRDefault="009F18E5" w:rsidP="006363EA">
            <w:pPr>
              <w:rPr>
                <w:rFonts w:cs="Arial"/>
                <w:sz w:val="20"/>
                <w:szCs w:val="20"/>
              </w:rPr>
            </w:pPr>
          </w:p>
        </w:tc>
        <w:tc>
          <w:tcPr>
            <w:tcW w:w="2357" w:type="dxa"/>
          </w:tcPr>
          <w:p w14:paraId="18742C0F" w14:textId="77777777" w:rsidR="009F18E5" w:rsidRPr="00A01AB0" w:rsidRDefault="009F18E5" w:rsidP="006363EA">
            <w:pPr>
              <w:rPr>
                <w:rFonts w:cs="Arial"/>
                <w:sz w:val="20"/>
                <w:szCs w:val="20"/>
              </w:rPr>
            </w:pPr>
          </w:p>
        </w:tc>
        <w:tc>
          <w:tcPr>
            <w:tcW w:w="1183" w:type="dxa"/>
          </w:tcPr>
          <w:p w14:paraId="3BCAF405" w14:textId="02DAE8A5" w:rsidR="009F18E5" w:rsidRPr="00DA017C" w:rsidRDefault="009F18E5" w:rsidP="006363EA">
            <w:pPr>
              <w:rPr>
                <w:rFonts w:cs="Arial"/>
                <w:sz w:val="20"/>
                <w:szCs w:val="20"/>
              </w:rPr>
            </w:pPr>
          </w:p>
        </w:tc>
        <w:tc>
          <w:tcPr>
            <w:tcW w:w="1439" w:type="dxa"/>
          </w:tcPr>
          <w:p w14:paraId="740042F9" w14:textId="2E475D81" w:rsidR="009F18E5" w:rsidRPr="00DA017C" w:rsidRDefault="009F18E5" w:rsidP="006363EA">
            <w:pPr>
              <w:rPr>
                <w:rFonts w:cs="Arial"/>
                <w:sz w:val="20"/>
                <w:szCs w:val="20"/>
              </w:rPr>
            </w:pPr>
          </w:p>
        </w:tc>
        <w:tc>
          <w:tcPr>
            <w:tcW w:w="4498" w:type="dxa"/>
          </w:tcPr>
          <w:p w14:paraId="49163E85" w14:textId="1E012DD1" w:rsidR="009F18E5" w:rsidRPr="00DD5FE9" w:rsidRDefault="009F18E5" w:rsidP="006363EA">
            <w:pPr>
              <w:rPr>
                <w:rFonts w:cs="Arial"/>
                <w:sz w:val="20"/>
                <w:szCs w:val="20"/>
              </w:rPr>
            </w:pPr>
          </w:p>
        </w:tc>
      </w:tr>
    </w:tbl>
    <w:p w14:paraId="65FECE26" w14:textId="77777777" w:rsidR="009F18E5" w:rsidRDefault="009F18E5" w:rsidP="009F18E5"/>
    <w:p w14:paraId="457C8603" w14:textId="77777777" w:rsidR="0082576E" w:rsidRDefault="0082576E"/>
    <w:sectPr w:rsidR="0082576E" w:rsidSect="009F18E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61F1" w14:textId="77777777" w:rsidR="00000000" w:rsidRDefault="00000000" w:rsidP="006668EF">
    <w:pPr>
      <w:pStyle w:val="Header"/>
      <w:jc w:val="center"/>
    </w:pPr>
    <w:r w:rsidRPr="00EB4069">
      <w:rPr>
        <w:i/>
        <w:iCs/>
      </w:rPr>
      <w:t xml:space="preserve">Unofficial Draft </w:t>
    </w:r>
    <w:r>
      <w:rPr>
        <w:i/>
        <w:iCs/>
      </w:rPr>
      <w:t>Agenda</w:t>
    </w:r>
    <w:r w:rsidRPr="00EB4069">
      <w:rPr>
        <w:i/>
        <w:iCs/>
      </w:rPr>
      <w:t xml:space="preserve"> not yet reviewed or approved by the </w:t>
    </w:r>
    <w:proofErr w:type="gramStart"/>
    <w:r w:rsidRPr="00EB4069">
      <w:rPr>
        <w:i/>
        <w:iCs/>
      </w:rPr>
      <w:t>Board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288"/>
    <w:multiLevelType w:val="hybridMultilevel"/>
    <w:tmpl w:val="0988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B48D9"/>
    <w:multiLevelType w:val="hybridMultilevel"/>
    <w:tmpl w:val="DAE4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046194">
    <w:abstractNumId w:val="0"/>
  </w:num>
  <w:num w:numId="2" w16cid:durableId="481696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E5"/>
    <w:rsid w:val="00522AF1"/>
    <w:rsid w:val="007746DF"/>
    <w:rsid w:val="0082576E"/>
    <w:rsid w:val="009F18E5"/>
    <w:rsid w:val="00D832D2"/>
    <w:rsid w:val="00E3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307E"/>
  <w15:chartTrackingRefBased/>
  <w15:docId w15:val="{C24F372E-84E1-4C29-BAE0-30A8B387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E5"/>
    <w:rPr>
      <w:rFonts w:ascii="Arial" w:hAnsi="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8E5"/>
    <w:pPr>
      <w:spacing w:after="0" w:line="240" w:lineRule="auto"/>
    </w:pPr>
    <w:rPr>
      <w:rFonts w:ascii="Arial" w:hAnsi="Arial"/>
      <w:kern w:val="0"/>
      <w14:ligatures w14:val="none"/>
    </w:rPr>
  </w:style>
  <w:style w:type="table" w:styleId="TableGrid">
    <w:name w:val="Table Grid"/>
    <w:basedOn w:val="TableNormal"/>
    <w:uiPriority w:val="39"/>
    <w:rsid w:val="009F18E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8E5"/>
    <w:pPr>
      <w:ind w:left="720"/>
      <w:contextualSpacing/>
    </w:pPr>
  </w:style>
  <w:style w:type="character" w:styleId="Hyperlink">
    <w:name w:val="Hyperlink"/>
    <w:basedOn w:val="DefaultParagraphFont"/>
    <w:uiPriority w:val="99"/>
    <w:unhideWhenUsed/>
    <w:rsid w:val="009F18E5"/>
    <w:rPr>
      <w:color w:val="0000FF"/>
      <w:u w:val="single"/>
    </w:rPr>
  </w:style>
  <w:style w:type="paragraph" w:styleId="Header">
    <w:name w:val="header"/>
    <w:basedOn w:val="Normal"/>
    <w:link w:val="HeaderChar"/>
    <w:uiPriority w:val="99"/>
    <w:unhideWhenUsed/>
    <w:rsid w:val="009F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8E5"/>
    <w:rPr>
      <w:rFonts w:ascii="Arial" w:hAnsi="Arial"/>
      <w:kern w:val="0"/>
      <w14:ligatures w14:val="none"/>
    </w:rPr>
  </w:style>
  <w:style w:type="character" w:customStyle="1" w:styleId="gmaildefault">
    <w:name w:val="gmail_default"/>
    <w:basedOn w:val="DefaultParagraphFont"/>
    <w:rsid w:val="009F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us06web.zoom.us/j/4937680894?pwd=aGx2MFdDOEN0Y0RGMG5iN2JiWEg4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McCullough</dc:creator>
  <cp:keywords/>
  <dc:description/>
  <cp:lastModifiedBy>Vickie McCullough</cp:lastModifiedBy>
  <cp:revision>2</cp:revision>
  <dcterms:created xsi:type="dcterms:W3CDTF">2023-12-10T16:02:00Z</dcterms:created>
  <dcterms:modified xsi:type="dcterms:W3CDTF">2023-12-10T16:02:00Z</dcterms:modified>
</cp:coreProperties>
</file>